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EE" w:rsidRDefault="00390EEE" w:rsidP="00390EEE">
      <w:pPr>
        <w:numPr>
          <w:ilvl w:val="0"/>
          <w:numId w:val="2"/>
        </w:numPr>
        <w:jc w:val="both"/>
        <w:rPr>
          <w:b/>
          <w:bCs/>
        </w:rPr>
      </w:pPr>
      <w:r>
        <w:rPr>
          <w:b/>
          <w:bCs/>
        </w:rPr>
        <w:t>Implementation Arrangements</w:t>
      </w:r>
    </w:p>
    <w:p w:rsidR="00390EEE" w:rsidRDefault="00390EEE" w:rsidP="00390EEE">
      <w:pPr>
        <w:jc w:val="both"/>
      </w:pPr>
      <w:r>
        <w:t xml:space="preserve">The project’s institutional framework addresses two key issues: a) policy oversight; and b) project implementation and coordination. For overall policy oversight, an Inter-ministerial Project Advisory Council (consisting of the Ministry of Youth and Sports, the Ministry of Labor, Ministry of Gender and Development, the Ministry of Education, and the Ministry of Commerce) will provide policy guidance to ensure that the project’s development objectives are met and are aligned both with national policy on the economic empowerment of adolescent girls and with national employment policy. They will oversee the effective implementation of the policy as designed.  In addition, an Employers Advisory Committee will provide guidance to training providers on functional areas in which skills training is needed. </w:t>
      </w:r>
    </w:p>
    <w:p w:rsidR="00390EEE" w:rsidRDefault="00390EEE" w:rsidP="00390EEE">
      <w:pPr>
        <w:jc w:val="both"/>
      </w:pPr>
    </w:p>
    <w:p w:rsidR="00390EEE" w:rsidRDefault="00390EEE" w:rsidP="00390EEE">
      <w:pPr>
        <w:jc w:val="both"/>
      </w:pPr>
      <w:r>
        <w:t xml:space="preserve">Project management will focus on ensuring the project’s operational effectiveness, agile implementation, and compliance with World Bank operational policies and guidelines.  Project management will be handled by a Project Implementation and Coordination Team (PICT) consisting of a Project Coordinator, a Monitoring and Evaluation Specialist, a Procurement Specialist, and an Administrative Support person. </w:t>
      </w:r>
    </w:p>
    <w:p w:rsidR="00390EEE" w:rsidRDefault="00390EEE" w:rsidP="00390EEE">
      <w:pPr>
        <w:jc w:val="both"/>
      </w:pPr>
    </w:p>
    <w:p w:rsidR="00390EEE" w:rsidRDefault="00390EEE" w:rsidP="00390EEE">
      <w:pPr>
        <w:jc w:val="both"/>
      </w:pPr>
      <w:r>
        <w:t xml:space="preserve">Financial management for the project will be handled by the Project Financial Management Unit (PFMU) of the Ministry of Finance.  A memorandum of understanding (MoU) detailing the respective financial management responsibilities of the parties was signed between the PFMU and the MoGD prior to project effectiveness.  </w:t>
      </w:r>
    </w:p>
    <w:p w:rsidR="00390EEE" w:rsidRDefault="00390EEE" w:rsidP="00390EEE">
      <w:pPr>
        <w:jc w:val="both"/>
      </w:pPr>
    </w:p>
    <w:p w:rsidR="00390EEE" w:rsidRDefault="00390EEE" w:rsidP="00390EEE">
      <w:pPr>
        <w:jc w:val="both"/>
      </w:pPr>
      <w:r>
        <w:t>In general terms under the MoU the PFMU is tasked with the following responsibilities:</w:t>
      </w:r>
    </w:p>
    <w:p w:rsidR="00390EEE" w:rsidRDefault="00390EEE" w:rsidP="00390EEE">
      <w:pPr>
        <w:numPr>
          <w:ilvl w:val="0"/>
          <w:numId w:val="1"/>
        </w:numPr>
        <w:jc w:val="both"/>
      </w:pPr>
      <w:r>
        <w:t>Operate an efficient financial management system acceptable to the IDA;</w:t>
      </w:r>
    </w:p>
    <w:p w:rsidR="00390EEE" w:rsidRDefault="00390EEE" w:rsidP="00390EEE">
      <w:pPr>
        <w:numPr>
          <w:ilvl w:val="0"/>
          <w:numId w:val="1"/>
        </w:numPr>
        <w:jc w:val="both"/>
      </w:pPr>
      <w:r>
        <w:t>Establish effective accounting and transaction processing procedures to support the payment of all eligible expenditures;</w:t>
      </w:r>
    </w:p>
    <w:p w:rsidR="00390EEE" w:rsidRDefault="00390EEE" w:rsidP="00390EEE">
      <w:pPr>
        <w:numPr>
          <w:ilvl w:val="0"/>
          <w:numId w:val="1"/>
        </w:numPr>
        <w:jc w:val="both"/>
      </w:pPr>
      <w:r>
        <w:t>Provide internal audit services and periodically review the control environment to ensure that policies and procedures are being complied with;</w:t>
      </w:r>
    </w:p>
    <w:p w:rsidR="00390EEE" w:rsidRDefault="00390EEE" w:rsidP="00390EEE">
      <w:pPr>
        <w:numPr>
          <w:ilvl w:val="0"/>
          <w:numId w:val="1"/>
        </w:numPr>
        <w:jc w:val="both"/>
      </w:pPr>
      <w:r>
        <w:t xml:space="preserve">Prepare on a timely basis quarterly financial reports and any other financial reports as may be requested by the IDA and the MoGD/EPAG; and </w:t>
      </w:r>
    </w:p>
    <w:p w:rsidR="00390EEE" w:rsidRDefault="00390EEE" w:rsidP="00390EEE">
      <w:pPr>
        <w:numPr>
          <w:ilvl w:val="0"/>
          <w:numId w:val="1"/>
        </w:numPr>
        <w:jc w:val="both"/>
      </w:pPr>
      <w:r>
        <w:t xml:space="preserve">Lastly, in consultation with the </w:t>
      </w:r>
      <w:r w:rsidRPr="00D0098E">
        <w:t>MoGD/EPAG,</w:t>
      </w:r>
      <w:r>
        <w:t xml:space="preserve"> ensure that the financial statements of the project are audited and conform to the financial covenants as per the Grant Agreement.</w:t>
      </w:r>
    </w:p>
    <w:p w:rsidR="00390EEE" w:rsidRDefault="00390EEE">
      <w:bookmarkStart w:id="0" w:name="_GoBack"/>
      <w:bookmarkEnd w:id="0"/>
    </w:p>
    <w:p w:rsidR="00390EEE" w:rsidRDefault="00390EEE">
      <w:r w:rsidRPr="000C66FB">
        <w:rPr>
          <w:b/>
          <w:i/>
          <w:sz w:val="22"/>
          <w:szCs w:val="22"/>
        </w:rPr>
        <w:t>Figure 1. EPAG Institutional Framework</w:t>
      </w:r>
    </w:p>
    <w:p w:rsidR="00390EEE" w:rsidRDefault="00390EEE">
      <w:r>
        <w:rPr>
          <w:noProof/>
        </w:rPr>
      </w:r>
      <w:r>
        <w:pict>
          <v:group id="_x0000_s1026" editas="orgchart" style="width:6in;height:378pt;mso-position-horizontal-relative:char;mso-position-vertical-relative:line" coordorigin="1815,1708" coordsize="8642,7560">
            <o:lock v:ext="edit" aspectratio="t"/>
            <o:diagram v:ext="edit" dgmstyle="0" dgmscalex="71482" dgmscaley="98309" dgmfontsize="13" constrainbounds="0,0,0,0">
              <o:relationtable v:ext="edit">
                <o:rel v:ext="edit" idsrc="#_s1034" iddest="#_s1034"/>
                <o:rel v:ext="edit" idsrc="#_s1036" iddest="#_s1034" idcntr="#_s1032"/>
                <o:rel v:ext="edit" idsrc="#_s1035" iddest="#_s1034" idcntr="#_s1033"/>
                <o:rel v:ext="edit" idsrc="#_s1037" iddest="#_s1035" idcntr="#_s1031"/>
                <o:rel v:ext="edit" idsrc="#_s1038" iddest="#_s1035" idcntr="#_s1030"/>
                <o:rel v:ext="edit" idsrc="#_s1039" iddest="#_s1038" idcntr="#_s1029"/>
                <o:rel v:ext="edit" idsrc="#_s1040" iddest="#_s1038"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15;top:1708;width:8642;height:75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7708;top:7648;width:393;height:1080;rotation:180" o:connectortype="elbow" adj="-445191,-174560,-445191" strokeweight="2.25pt"/>
            <v:shape id="_s1029" o:spid="_x0000_s1029" type="#_x0000_t33" style="position:absolute;left:7315;top:7648;width:393;height:1080;flip:y" o:connectortype="elbow" adj="-401991,174560,-401991" strokeweight="2.25pt"/>
            <v:shape id="_s1030" o:spid="_x0000_s1030" type="#_x0000_t33" style="position:absolute;left:4566;top:6028;width:1964;height:1080;rotation:180" o:connectortype="elbow" adj="-71806,-142160,-71806" strokeweight="2.25pt"/>
            <v:shape id="_s1031" o:spid="_x0000_s1031" type="#_x0000_t33" style="position:absolute;left:4172;top:6028;width:394;height:1080;flip:y" o:connectortype="elbow" adj="-228664,142160,-228664" strokeweight="2.25pt"/>
            <v:shape id="_s1032" o:spid="_x0000_s1032" type="#_x0000_t33" style="position:absolute;left:4172;top:2788;width:394;height:1080;flip:y" o:connectortype="elbow" adj="-228664,77360,-228664" strokeweight="2.25pt"/>
            <v:shapetype id="_x0000_t32" coordsize="21600,21600" o:spt="32" o:oned="t" path="m,l21600,21600e" filled="f">
              <v:path arrowok="t" fillok="f" o:connecttype="none"/>
              <o:lock v:ext="edit" shapetype="t"/>
            </v:shapetype>
            <v:shape id="_s1033" o:spid="_x0000_s1033" type="#_x0000_t32" style="position:absolute;left:3487;top:3867;width:2160;height:1;rotation:270" o:connectortype="elbow" adj="-45650,-1,-45650" strokeweight="2.25pt"/>
            <v:roundrect id="_s1034" o:spid="_x0000_s1034" style="position:absolute;left:3387;top:1708;width:2357;height:1080;v-text-anchor:middle" arcsize="10923f" o:dgmlayout="0" o:dgmnodekind="1" o:dgmlayoutmru="0" fillcolor="#bbe0e3">
              <v:textbox style="mso-next-textbox:#_s1034" inset="0,0,0,0">
                <w:txbxContent>
                  <w:p w:rsidR="00390EEE" w:rsidRDefault="00390EEE" w:rsidP="00390EEE">
                    <w:pPr>
                      <w:jc w:val="center"/>
                      <w:rPr>
                        <w:sz w:val="18"/>
                        <w:szCs w:val="18"/>
                      </w:rPr>
                    </w:pPr>
                    <w:r>
                      <w:rPr>
                        <w:b/>
                        <w:sz w:val="18"/>
                        <w:szCs w:val="18"/>
                      </w:rPr>
                      <w:t xml:space="preserve">Inter-ministerial Project Advisory </w:t>
                    </w:r>
                    <w:r w:rsidRPr="00F872DB">
                      <w:rPr>
                        <w:b/>
                        <w:sz w:val="18"/>
                        <w:szCs w:val="18"/>
                      </w:rPr>
                      <w:t>Council</w:t>
                    </w:r>
                  </w:p>
                  <w:p w:rsidR="00390EEE" w:rsidRDefault="00390EEE" w:rsidP="00390EEE">
                    <w:pPr>
                      <w:jc w:val="center"/>
                      <w:rPr>
                        <w:sz w:val="18"/>
                        <w:szCs w:val="18"/>
                      </w:rPr>
                    </w:pPr>
                    <w:r>
                      <w:rPr>
                        <w:sz w:val="18"/>
                        <w:szCs w:val="18"/>
                        <w:lang w:val="nl-NL"/>
                      </w:rPr>
                      <w:t xml:space="preserve"> MoGD; MoL; MoE; MoYS; MoC, MoA</w:t>
                    </w:r>
                  </w:p>
                </w:txbxContent>
              </v:textbox>
            </v:roundrect>
            <v:roundrect id="_s1035" o:spid="_x0000_s1035" style="position:absolute;left:3387;top:4948;width:2357;height:1080;v-text-anchor:middle" arcsize="10923f" o:dgmlayout="0" o:dgmnodekind="0" fillcolor="#bbe0e3">
              <v:textbox style="mso-next-textbox:#_s1035" inset="0,0,0,0">
                <w:txbxContent>
                  <w:p w:rsidR="00390EEE" w:rsidRDefault="00390EEE" w:rsidP="00390EEE">
                    <w:pPr>
                      <w:jc w:val="center"/>
                      <w:rPr>
                        <w:b/>
                        <w:sz w:val="22"/>
                        <w:szCs w:val="22"/>
                      </w:rPr>
                    </w:pPr>
                    <w:r>
                      <w:rPr>
                        <w:b/>
                        <w:sz w:val="22"/>
                        <w:szCs w:val="22"/>
                      </w:rPr>
                      <w:t>Executing Agency</w:t>
                    </w:r>
                  </w:p>
                  <w:p w:rsidR="00390EEE" w:rsidRDefault="00390EEE" w:rsidP="00390EEE">
                    <w:pPr>
                      <w:jc w:val="center"/>
                      <w:rPr>
                        <w:sz w:val="20"/>
                        <w:szCs w:val="20"/>
                      </w:rPr>
                    </w:pPr>
                    <w:r>
                      <w:rPr>
                        <w:sz w:val="20"/>
                        <w:szCs w:val="20"/>
                      </w:rPr>
                      <w:t>(Project Coordination Team); Technical Advisors</w:t>
                    </w:r>
                  </w:p>
                </w:txbxContent>
              </v:textbox>
            </v:roundrect>
            <v:roundrect id="_s1036" o:spid="_x0000_s1036" style="position:absolute;left:1815;top:3328;width:2357;height:1080;v-text-anchor:middle" arcsize="10923f" o:dgmlayout="0" o:dgmnodekind="2" fillcolor="#bbe0e3">
              <v:textbox style="mso-next-textbox:#_s1036" inset="0,0,0,0">
                <w:txbxContent>
                  <w:p w:rsidR="00390EEE" w:rsidRDefault="00390EEE" w:rsidP="00390EEE">
                    <w:pPr>
                      <w:jc w:val="center"/>
                      <w:rPr>
                        <w:b/>
                        <w:sz w:val="18"/>
                        <w:szCs w:val="18"/>
                      </w:rPr>
                    </w:pPr>
                    <w:r>
                      <w:rPr>
                        <w:b/>
                        <w:sz w:val="18"/>
                        <w:szCs w:val="18"/>
                      </w:rPr>
                      <w:t>Employers’</w:t>
                    </w:r>
                    <w:r>
                      <w:rPr>
                        <w:sz w:val="18"/>
                        <w:szCs w:val="18"/>
                      </w:rPr>
                      <w:t xml:space="preserve"> </w:t>
                    </w:r>
                    <w:r>
                      <w:rPr>
                        <w:b/>
                        <w:sz w:val="18"/>
                        <w:szCs w:val="18"/>
                      </w:rPr>
                      <w:t>Advisory Committee</w:t>
                    </w:r>
                  </w:p>
                  <w:p w:rsidR="00390EEE" w:rsidRDefault="00390EEE" w:rsidP="00390EEE">
                    <w:pPr>
                      <w:jc w:val="center"/>
                      <w:rPr>
                        <w:sz w:val="23"/>
                      </w:rPr>
                    </w:pPr>
                    <w:r>
                      <w:rPr>
                        <w:sz w:val="18"/>
                        <w:szCs w:val="18"/>
                      </w:rPr>
                      <w:t>Public/Private sectors, Int. organizations</w:t>
                    </w:r>
                  </w:p>
                </w:txbxContent>
              </v:textbox>
            </v:roundrect>
            <v:roundrect id="_s1037" o:spid="_x0000_s1037" style="position:absolute;left:1816;top:6568;width:2356;height:1080;v-text-anchor:middle" arcsize="10923f" o:dgmlayout="0" o:dgmnodekind="2" fillcolor="#bbe0e3">
              <v:textbox style="mso-next-textbox:#_s1037" inset="0,0,0,0">
                <w:txbxContent>
                  <w:p w:rsidR="00390EEE" w:rsidRDefault="00390EEE" w:rsidP="00390EEE">
                    <w:pPr>
                      <w:jc w:val="center"/>
                      <w:rPr>
                        <w:b/>
                        <w:sz w:val="22"/>
                        <w:szCs w:val="22"/>
                      </w:rPr>
                    </w:pPr>
                    <w:r>
                      <w:rPr>
                        <w:b/>
                        <w:sz w:val="22"/>
                        <w:szCs w:val="22"/>
                      </w:rPr>
                      <w:t>Implementing Agencies</w:t>
                    </w:r>
                  </w:p>
                  <w:p w:rsidR="00390EEE" w:rsidRDefault="00390EEE" w:rsidP="00390EEE">
                    <w:pPr>
                      <w:jc w:val="center"/>
                      <w:rPr>
                        <w:sz w:val="20"/>
                        <w:szCs w:val="20"/>
                      </w:rPr>
                    </w:pPr>
                    <w:r>
                      <w:rPr>
                        <w:sz w:val="20"/>
                        <w:szCs w:val="20"/>
                      </w:rPr>
                      <w:t>Service providers; impact evaluation experts</w:t>
                    </w:r>
                  </w:p>
                </w:txbxContent>
              </v:textbox>
            </v:roundrect>
            <v:roundrect id="_s1038" o:spid="_x0000_s1038" style="position:absolute;left:6530;top:6568;width:2357;height:1080;v-text-anchor:middle" arcsize="10923f" o:dgmlayout="0" o:dgmnodekind="2" fillcolor="#bbe0e3">
              <v:textbox style="mso-next-textbox:#_s1038" inset="0,0,0,0">
                <w:txbxContent>
                  <w:p w:rsidR="00390EEE" w:rsidRDefault="00390EEE" w:rsidP="00390EEE">
                    <w:pPr>
                      <w:jc w:val="center"/>
                    </w:pPr>
                    <w:r>
                      <w:rPr>
                        <w:b/>
                        <w:sz w:val="22"/>
                        <w:szCs w:val="22"/>
                      </w:rPr>
                      <w:t>Fiduciary Arrangements</w:t>
                    </w:r>
                  </w:p>
                </w:txbxContent>
              </v:textbox>
            </v:roundrect>
            <v:roundrect id="_s1039" o:spid="_x0000_s1039" style="position:absolute;left:4958;top:8188;width:2357;height:1080;v-text-anchor:middle" arcsize="10923f" o:dgmlayout="0" o:dgmnodekind="2" fillcolor="#bbe0e3">
              <v:textbox style="mso-next-textbox:#_s1039" inset="0,0,0,0">
                <w:txbxContent>
                  <w:p w:rsidR="00390EEE" w:rsidRDefault="00390EEE" w:rsidP="00390EEE">
                    <w:pPr>
                      <w:jc w:val="center"/>
                      <w:rPr>
                        <w:b/>
                        <w:sz w:val="22"/>
                      </w:rPr>
                    </w:pPr>
                    <w:r>
                      <w:rPr>
                        <w:b/>
                        <w:sz w:val="22"/>
                      </w:rPr>
                      <w:t>Procurement</w:t>
                    </w:r>
                  </w:p>
                  <w:p w:rsidR="00390EEE" w:rsidRDefault="00390EEE" w:rsidP="00390EEE">
                    <w:pPr>
                      <w:jc w:val="center"/>
                      <w:rPr>
                        <w:sz w:val="20"/>
                        <w:szCs w:val="20"/>
                      </w:rPr>
                    </w:pPr>
                    <w:r>
                      <w:rPr>
                        <w:sz w:val="20"/>
                        <w:szCs w:val="20"/>
                      </w:rPr>
                      <w:t>Competitive bidding, Contracting (MoGD with EGIRP);</w:t>
                    </w:r>
                  </w:p>
                  <w:p w:rsidR="00390EEE" w:rsidRDefault="00390EEE" w:rsidP="00390EEE">
                    <w:pPr>
                      <w:jc w:val="center"/>
                      <w:rPr>
                        <w:sz w:val="20"/>
                        <w:szCs w:val="20"/>
                      </w:rPr>
                    </w:pPr>
                  </w:p>
                </w:txbxContent>
              </v:textbox>
            </v:roundrect>
            <v:roundrect id="_s1040" o:spid="_x0000_s1040" style="position:absolute;left:8101;top:8188;width:2356;height:1080;v-text-anchor:middle" arcsize="10923f" o:dgmlayout="0" o:dgmnodekind="2" fillcolor="#bbe0e3">
              <v:textbox style="mso-next-textbox:#_s1040" inset="0,0,0,0">
                <w:txbxContent>
                  <w:p w:rsidR="00390EEE" w:rsidRDefault="00390EEE" w:rsidP="00390EEE">
                    <w:pPr>
                      <w:jc w:val="center"/>
                      <w:rPr>
                        <w:b/>
                        <w:sz w:val="21"/>
                      </w:rPr>
                    </w:pPr>
                    <w:r>
                      <w:rPr>
                        <w:b/>
                        <w:sz w:val="21"/>
                      </w:rPr>
                      <w:t>Financial management</w:t>
                    </w:r>
                  </w:p>
                  <w:p w:rsidR="00390EEE" w:rsidRDefault="00390EEE" w:rsidP="00390EEE">
                    <w:pPr>
                      <w:jc w:val="center"/>
                      <w:rPr>
                        <w:sz w:val="20"/>
                        <w:szCs w:val="20"/>
                      </w:rPr>
                    </w:pPr>
                    <w:r>
                      <w:rPr>
                        <w:sz w:val="20"/>
                        <w:szCs w:val="20"/>
                      </w:rPr>
                      <w:t>Disbursement, accounting, auditing (PFMU)</w:t>
                    </w:r>
                  </w:p>
                </w:txbxContent>
              </v:textbox>
            </v:roundrect>
            <v:line id="_x0000_s1041" style="position:absolute" from="2535,4599" to="9917,4600">
              <v:stroke dashstyle="dash"/>
            </v:line>
            <v:line id="_x0000_s1042" style="position:absolute;flip:y" from="8837,3042" to="8838,3931">
              <v:stroke endarrow="block"/>
            </v:line>
            <v:line id="_x0000_s1043" style="position:absolute" from="9017,5318" to="9018,6208">
              <v:stroke endarrow="block"/>
            </v:line>
            <v:shapetype id="_x0000_t202" coordsize="21600,21600" o:spt="202" path="m,l,21600r21600,l21600,xe">
              <v:stroke joinstyle="miter"/>
              <v:path gradientshapeok="t" o:connecttype="rect"/>
            </v:shapetype>
            <v:shape id="_x0000_s1044" type="#_x0000_t202" style="position:absolute;left:5957;top:3931;width:4140;height:444">
              <v:textbox style="mso-next-textbox:#_x0000_s1044">
                <w:txbxContent>
                  <w:p w:rsidR="00390EEE" w:rsidRDefault="00390EEE" w:rsidP="00390EEE">
                    <w:r>
                      <w:t>Policy &amp; strategic advice, alignment with PRS</w:t>
                    </w:r>
                  </w:p>
                </w:txbxContent>
              </v:textbox>
            </v:shape>
            <v:shape id="_x0000_s1045" type="#_x0000_t202" style="position:absolute;left:6137;top:4821;width:3780;height:847">
              <v:textbox style="mso-next-textbox:#_x0000_s1045">
                <w:txbxContent>
                  <w:p w:rsidR="00390EEE" w:rsidRDefault="00390EEE" w:rsidP="00390EEE">
                    <w:r>
                      <w:t>Project management and technical oversight</w:t>
                    </w:r>
                  </w:p>
                </w:txbxContent>
              </v:textbox>
            </v:shape>
            <w10:wrap type="none"/>
            <w10:anchorlock/>
          </v:group>
        </w:pict>
      </w:r>
    </w:p>
    <w:sectPr w:rsidR="00390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12B"/>
    <w:multiLevelType w:val="hybridMultilevel"/>
    <w:tmpl w:val="2A0EA332"/>
    <w:lvl w:ilvl="0" w:tplc="05BAF18E">
      <w:start w:val="1"/>
      <w:numFmt w:val="lowerRoman"/>
      <w:lvlText w:val="%1."/>
      <w:lvlJc w:val="right"/>
      <w:pPr>
        <w:tabs>
          <w:tab w:val="num" w:pos="540"/>
        </w:tabs>
        <w:ind w:left="540" w:hanging="180"/>
      </w:pPr>
      <w:rPr>
        <w:rFonts w:hint="default"/>
      </w:rPr>
    </w:lvl>
    <w:lvl w:ilvl="1" w:tplc="3A948BB0">
      <w:start w:val="1"/>
      <w:numFmt w:val="upp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1F0424"/>
    <w:multiLevelType w:val="hybridMultilevel"/>
    <w:tmpl w:val="FD10F392"/>
    <w:lvl w:ilvl="0" w:tplc="04090015">
      <w:start w:val="1"/>
      <w:numFmt w:val="upp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EE"/>
    <w:rsid w:val="00011E96"/>
    <w:rsid w:val="00012A5F"/>
    <w:rsid w:val="000136B8"/>
    <w:rsid w:val="0001590A"/>
    <w:rsid w:val="0002124E"/>
    <w:rsid w:val="00021FE5"/>
    <w:rsid w:val="00023114"/>
    <w:rsid w:val="00024781"/>
    <w:rsid w:val="000308DD"/>
    <w:rsid w:val="00034184"/>
    <w:rsid w:val="00034823"/>
    <w:rsid w:val="00036B04"/>
    <w:rsid w:val="00037AC4"/>
    <w:rsid w:val="00042DD3"/>
    <w:rsid w:val="0004574B"/>
    <w:rsid w:val="00046475"/>
    <w:rsid w:val="00046BCA"/>
    <w:rsid w:val="00046D20"/>
    <w:rsid w:val="0004717E"/>
    <w:rsid w:val="00052453"/>
    <w:rsid w:val="0005306C"/>
    <w:rsid w:val="00054DFB"/>
    <w:rsid w:val="0005532D"/>
    <w:rsid w:val="00055A2C"/>
    <w:rsid w:val="00055DE9"/>
    <w:rsid w:val="00057952"/>
    <w:rsid w:val="00057BD3"/>
    <w:rsid w:val="000649A4"/>
    <w:rsid w:val="0007122A"/>
    <w:rsid w:val="00075A09"/>
    <w:rsid w:val="00075DDD"/>
    <w:rsid w:val="00076067"/>
    <w:rsid w:val="0008519A"/>
    <w:rsid w:val="00090CCA"/>
    <w:rsid w:val="00093536"/>
    <w:rsid w:val="00093976"/>
    <w:rsid w:val="00095495"/>
    <w:rsid w:val="00096DFE"/>
    <w:rsid w:val="00097C91"/>
    <w:rsid w:val="00097CF5"/>
    <w:rsid w:val="000A048C"/>
    <w:rsid w:val="000A0D13"/>
    <w:rsid w:val="000A2D9E"/>
    <w:rsid w:val="000A39E9"/>
    <w:rsid w:val="000A4AC9"/>
    <w:rsid w:val="000A7D7B"/>
    <w:rsid w:val="000B088A"/>
    <w:rsid w:val="000B1BD8"/>
    <w:rsid w:val="000B3C97"/>
    <w:rsid w:val="000B5400"/>
    <w:rsid w:val="000B6D13"/>
    <w:rsid w:val="000B7C24"/>
    <w:rsid w:val="000C1F95"/>
    <w:rsid w:val="000C57F1"/>
    <w:rsid w:val="000D0F83"/>
    <w:rsid w:val="000D6CEE"/>
    <w:rsid w:val="000D792C"/>
    <w:rsid w:val="000E3794"/>
    <w:rsid w:val="000E5C95"/>
    <w:rsid w:val="000F1C9A"/>
    <w:rsid w:val="000F3796"/>
    <w:rsid w:val="000F6BB5"/>
    <w:rsid w:val="00100832"/>
    <w:rsid w:val="00101482"/>
    <w:rsid w:val="00101F26"/>
    <w:rsid w:val="00104CDF"/>
    <w:rsid w:val="00105C12"/>
    <w:rsid w:val="001117D7"/>
    <w:rsid w:val="001170B9"/>
    <w:rsid w:val="00121BD3"/>
    <w:rsid w:val="00123267"/>
    <w:rsid w:val="001257A9"/>
    <w:rsid w:val="00126008"/>
    <w:rsid w:val="00126104"/>
    <w:rsid w:val="001315C7"/>
    <w:rsid w:val="001357E9"/>
    <w:rsid w:val="00140814"/>
    <w:rsid w:val="001421D0"/>
    <w:rsid w:val="001429F6"/>
    <w:rsid w:val="00142CAF"/>
    <w:rsid w:val="0014393F"/>
    <w:rsid w:val="00145B16"/>
    <w:rsid w:val="00155F26"/>
    <w:rsid w:val="001639C0"/>
    <w:rsid w:val="00163AE6"/>
    <w:rsid w:val="001651C1"/>
    <w:rsid w:val="00166104"/>
    <w:rsid w:val="00170F4E"/>
    <w:rsid w:val="00172A7E"/>
    <w:rsid w:val="00173999"/>
    <w:rsid w:val="00174422"/>
    <w:rsid w:val="001820EB"/>
    <w:rsid w:val="00182F8E"/>
    <w:rsid w:val="00183A7A"/>
    <w:rsid w:val="001873DC"/>
    <w:rsid w:val="00192241"/>
    <w:rsid w:val="00192B62"/>
    <w:rsid w:val="001962C9"/>
    <w:rsid w:val="00196D72"/>
    <w:rsid w:val="001A2A2A"/>
    <w:rsid w:val="001A34A4"/>
    <w:rsid w:val="001A7FED"/>
    <w:rsid w:val="001B0534"/>
    <w:rsid w:val="001B155D"/>
    <w:rsid w:val="001B52E2"/>
    <w:rsid w:val="001B6AC1"/>
    <w:rsid w:val="001B7276"/>
    <w:rsid w:val="001B7605"/>
    <w:rsid w:val="001C1762"/>
    <w:rsid w:val="001C2809"/>
    <w:rsid w:val="001C2C49"/>
    <w:rsid w:val="001C3F01"/>
    <w:rsid w:val="001C72D8"/>
    <w:rsid w:val="001D595D"/>
    <w:rsid w:val="001D5AD3"/>
    <w:rsid w:val="001D6C9E"/>
    <w:rsid w:val="001E059F"/>
    <w:rsid w:val="001E3135"/>
    <w:rsid w:val="001E360D"/>
    <w:rsid w:val="001E3762"/>
    <w:rsid w:val="001E7B0C"/>
    <w:rsid w:val="001F1F52"/>
    <w:rsid w:val="001F202E"/>
    <w:rsid w:val="001F2FA7"/>
    <w:rsid w:val="001F5AE6"/>
    <w:rsid w:val="001F5FA8"/>
    <w:rsid w:val="001F781D"/>
    <w:rsid w:val="00205927"/>
    <w:rsid w:val="00207C7D"/>
    <w:rsid w:val="00214628"/>
    <w:rsid w:val="00214E77"/>
    <w:rsid w:val="00215E1E"/>
    <w:rsid w:val="00216CC1"/>
    <w:rsid w:val="00217B3E"/>
    <w:rsid w:val="00223FCC"/>
    <w:rsid w:val="00225EF9"/>
    <w:rsid w:val="0023116F"/>
    <w:rsid w:val="002328F1"/>
    <w:rsid w:val="00233981"/>
    <w:rsid w:val="00236C6B"/>
    <w:rsid w:val="0024343E"/>
    <w:rsid w:val="0024641A"/>
    <w:rsid w:val="00252986"/>
    <w:rsid w:val="0025376E"/>
    <w:rsid w:val="00253DAD"/>
    <w:rsid w:val="002569F7"/>
    <w:rsid w:val="00256A16"/>
    <w:rsid w:val="00256BAE"/>
    <w:rsid w:val="00261E8E"/>
    <w:rsid w:val="00262E9A"/>
    <w:rsid w:val="00262FDF"/>
    <w:rsid w:val="00265CBE"/>
    <w:rsid w:val="00270B4C"/>
    <w:rsid w:val="00270E7D"/>
    <w:rsid w:val="00277792"/>
    <w:rsid w:val="002778B1"/>
    <w:rsid w:val="002827FB"/>
    <w:rsid w:val="00283FF8"/>
    <w:rsid w:val="00284490"/>
    <w:rsid w:val="00285235"/>
    <w:rsid w:val="00292FB9"/>
    <w:rsid w:val="00293A6E"/>
    <w:rsid w:val="00295D8A"/>
    <w:rsid w:val="002A08E5"/>
    <w:rsid w:val="002A11D8"/>
    <w:rsid w:val="002A4354"/>
    <w:rsid w:val="002A5817"/>
    <w:rsid w:val="002A6388"/>
    <w:rsid w:val="002C1164"/>
    <w:rsid w:val="002C34E5"/>
    <w:rsid w:val="002C652C"/>
    <w:rsid w:val="002C71EC"/>
    <w:rsid w:val="002C780E"/>
    <w:rsid w:val="002D14C0"/>
    <w:rsid w:val="002D3A27"/>
    <w:rsid w:val="002D4451"/>
    <w:rsid w:val="002D5812"/>
    <w:rsid w:val="002E2F0E"/>
    <w:rsid w:val="002E32ED"/>
    <w:rsid w:val="002E5829"/>
    <w:rsid w:val="002E708E"/>
    <w:rsid w:val="002E713A"/>
    <w:rsid w:val="002E7D66"/>
    <w:rsid w:val="002F114F"/>
    <w:rsid w:val="002F27B5"/>
    <w:rsid w:val="002F5BC6"/>
    <w:rsid w:val="00301F39"/>
    <w:rsid w:val="0030447C"/>
    <w:rsid w:val="00304737"/>
    <w:rsid w:val="003115AE"/>
    <w:rsid w:val="00311821"/>
    <w:rsid w:val="0031254E"/>
    <w:rsid w:val="00312B86"/>
    <w:rsid w:val="00314533"/>
    <w:rsid w:val="00314D9E"/>
    <w:rsid w:val="00315D70"/>
    <w:rsid w:val="003210C9"/>
    <w:rsid w:val="0032291D"/>
    <w:rsid w:val="00324A9B"/>
    <w:rsid w:val="00330F3D"/>
    <w:rsid w:val="0033245D"/>
    <w:rsid w:val="00335465"/>
    <w:rsid w:val="00335B76"/>
    <w:rsid w:val="00336412"/>
    <w:rsid w:val="00343721"/>
    <w:rsid w:val="00344372"/>
    <w:rsid w:val="0034504D"/>
    <w:rsid w:val="00345998"/>
    <w:rsid w:val="003529E4"/>
    <w:rsid w:val="00356537"/>
    <w:rsid w:val="0036043A"/>
    <w:rsid w:val="00363953"/>
    <w:rsid w:val="0036735D"/>
    <w:rsid w:val="00372188"/>
    <w:rsid w:val="00372ED4"/>
    <w:rsid w:val="00372F7B"/>
    <w:rsid w:val="003758B6"/>
    <w:rsid w:val="00375D6C"/>
    <w:rsid w:val="00376A42"/>
    <w:rsid w:val="00385088"/>
    <w:rsid w:val="003860E9"/>
    <w:rsid w:val="00387C17"/>
    <w:rsid w:val="00390EEE"/>
    <w:rsid w:val="003A1261"/>
    <w:rsid w:val="003A3C21"/>
    <w:rsid w:val="003A44AB"/>
    <w:rsid w:val="003B04B1"/>
    <w:rsid w:val="003B3135"/>
    <w:rsid w:val="003B5CD9"/>
    <w:rsid w:val="003B5D16"/>
    <w:rsid w:val="003B717A"/>
    <w:rsid w:val="003C3A7E"/>
    <w:rsid w:val="003C5273"/>
    <w:rsid w:val="003C6AA5"/>
    <w:rsid w:val="003C7E73"/>
    <w:rsid w:val="003D138C"/>
    <w:rsid w:val="003D57D2"/>
    <w:rsid w:val="003D6DA4"/>
    <w:rsid w:val="003E040F"/>
    <w:rsid w:val="003E1A98"/>
    <w:rsid w:val="003E28DE"/>
    <w:rsid w:val="003E42E8"/>
    <w:rsid w:val="003E561D"/>
    <w:rsid w:val="003F0355"/>
    <w:rsid w:val="003F2CB0"/>
    <w:rsid w:val="003F337E"/>
    <w:rsid w:val="003F6225"/>
    <w:rsid w:val="003F6281"/>
    <w:rsid w:val="003F707A"/>
    <w:rsid w:val="003F7B00"/>
    <w:rsid w:val="00401B02"/>
    <w:rsid w:val="00405157"/>
    <w:rsid w:val="0040736D"/>
    <w:rsid w:val="0041267F"/>
    <w:rsid w:val="00413645"/>
    <w:rsid w:val="004151E3"/>
    <w:rsid w:val="00420877"/>
    <w:rsid w:val="00420C27"/>
    <w:rsid w:val="00422F71"/>
    <w:rsid w:val="004232AB"/>
    <w:rsid w:val="00425848"/>
    <w:rsid w:val="00425E21"/>
    <w:rsid w:val="00432A22"/>
    <w:rsid w:val="00433B35"/>
    <w:rsid w:val="0043456B"/>
    <w:rsid w:val="00436687"/>
    <w:rsid w:val="00441A90"/>
    <w:rsid w:val="00442527"/>
    <w:rsid w:val="00443422"/>
    <w:rsid w:val="004439B2"/>
    <w:rsid w:val="00443CB5"/>
    <w:rsid w:val="0044476A"/>
    <w:rsid w:val="00445F10"/>
    <w:rsid w:val="00446B00"/>
    <w:rsid w:val="00450F66"/>
    <w:rsid w:val="00452948"/>
    <w:rsid w:val="0045323F"/>
    <w:rsid w:val="00462102"/>
    <w:rsid w:val="00466765"/>
    <w:rsid w:val="00471662"/>
    <w:rsid w:val="00472450"/>
    <w:rsid w:val="004736DB"/>
    <w:rsid w:val="0047613F"/>
    <w:rsid w:val="00476DBA"/>
    <w:rsid w:val="00480240"/>
    <w:rsid w:val="004816DE"/>
    <w:rsid w:val="0048307B"/>
    <w:rsid w:val="00483906"/>
    <w:rsid w:val="004911D3"/>
    <w:rsid w:val="00494F54"/>
    <w:rsid w:val="00495639"/>
    <w:rsid w:val="00496B2F"/>
    <w:rsid w:val="004A0B20"/>
    <w:rsid w:val="004B302E"/>
    <w:rsid w:val="004B35EA"/>
    <w:rsid w:val="004B5EF1"/>
    <w:rsid w:val="004B69E6"/>
    <w:rsid w:val="004C02FB"/>
    <w:rsid w:val="004C0CE1"/>
    <w:rsid w:val="004C2C1D"/>
    <w:rsid w:val="004C47E6"/>
    <w:rsid w:val="004C6DD2"/>
    <w:rsid w:val="004C76D7"/>
    <w:rsid w:val="004C7B76"/>
    <w:rsid w:val="004C7C58"/>
    <w:rsid w:val="004D209B"/>
    <w:rsid w:val="004D26BD"/>
    <w:rsid w:val="004D48E7"/>
    <w:rsid w:val="004D59B8"/>
    <w:rsid w:val="004E167F"/>
    <w:rsid w:val="004E2A81"/>
    <w:rsid w:val="004E2B38"/>
    <w:rsid w:val="004E3240"/>
    <w:rsid w:val="004F04C3"/>
    <w:rsid w:val="004F0883"/>
    <w:rsid w:val="004F0A1C"/>
    <w:rsid w:val="004F0F34"/>
    <w:rsid w:val="004F1D70"/>
    <w:rsid w:val="004F39A1"/>
    <w:rsid w:val="004F4059"/>
    <w:rsid w:val="004F4C41"/>
    <w:rsid w:val="004F4D90"/>
    <w:rsid w:val="004F5929"/>
    <w:rsid w:val="004F644F"/>
    <w:rsid w:val="004F6C24"/>
    <w:rsid w:val="004F739E"/>
    <w:rsid w:val="00500852"/>
    <w:rsid w:val="00503B35"/>
    <w:rsid w:val="00505840"/>
    <w:rsid w:val="005060FB"/>
    <w:rsid w:val="0050782E"/>
    <w:rsid w:val="00507B08"/>
    <w:rsid w:val="00510E97"/>
    <w:rsid w:val="00511282"/>
    <w:rsid w:val="00513674"/>
    <w:rsid w:val="005136F4"/>
    <w:rsid w:val="00514A7E"/>
    <w:rsid w:val="00514ED6"/>
    <w:rsid w:val="00525FE2"/>
    <w:rsid w:val="005272C7"/>
    <w:rsid w:val="0052771B"/>
    <w:rsid w:val="00527A17"/>
    <w:rsid w:val="00532B41"/>
    <w:rsid w:val="00534BE5"/>
    <w:rsid w:val="00535BAC"/>
    <w:rsid w:val="005405FB"/>
    <w:rsid w:val="00540A58"/>
    <w:rsid w:val="00543488"/>
    <w:rsid w:val="00550DBC"/>
    <w:rsid w:val="005517D3"/>
    <w:rsid w:val="00562264"/>
    <w:rsid w:val="00564D71"/>
    <w:rsid w:val="0056606D"/>
    <w:rsid w:val="00567C44"/>
    <w:rsid w:val="00572881"/>
    <w:rsid w:val="00584880"/>
    <w:rsid w:val="00584967"/>
    <w:rsid w:val="00591633"/>
    <w:rsid w:val="0059259E"/>
    <w:rsid w:val="00592FDE"/>
    <w:rsid w:val="00594BA8"/>
    <w:rsid w:val="00595BB9"/>
    <w:rsid w:val="005A3EED"/>
    <w:rsid w:val="005A427A"/>
    <w:rsid w:val="005A669B"/>
    <w:rsid w:val="005A750F"/>
    <w:rsid w:val="005B1108"/>
    <w:rsid w:val="005B1A60"/>
    <w:rsid w:val="005B39F9"/>
    <w:rsid w:val="005B40E3"/>
    <w:rsid w:val="005B4879"/>
    <w:rsid w:val="005B4CA0"/>
    <w:rsid w:val="005B52BF"/>
    <w:rsid w:val="005B52C6"/>
    <w:rsid w:val="005B648E"/>
    <w:rsid w:val="005B755F"/>
    <w:rsid w:val="005C1B6E"/>
    <w:rsid w:val="005C2863"/>
    <w:rsid w:val="005C5067"/>
    <w:rsid w:val="005C6579"/>
    <w:rsid w:val="005C6847"/>
    <w:rsid w:val="005D1C4B"/>
    <w:rsid w:val="005D2D17"/>
    <w:rsid w:val="005E66F8"/>
    <w:rsid w:val="005E7FF2"/>
    <w:rsid w:val="005F0BB5"/>
    <w:rsid w:val="005F640B"/>
    <w:rsid w:val="00600F6B"/>
    <w:rsid w:val="006027FA"/>
    <w:rsid w:val="00602820"/>
    <w:rsid w:val="00606F76"/>
    <w:rsid w:val="00607120"/>
    <w:rsid w:val="006073B1"/>
    <w:rsid w:val="00613C35"/>
    <w:rsid w:val="00615D55"/>
    <w:rsid w:val="00622594"/>
    <w:rsid w:val="00623F6E"/>
    <w:rsid w:val="006302C2"/>
    <w:rsid w:val="0063081A"/>
    <w:rsid w:val="00631617"/>
    <w:rsid w:val="00631DE5"/>
    <w:rsid w:val="00637C26"/>
    <w:rsid w:val="00651E92"/>
    <w:rsid w:val="00652FF8"/>
    <w:rsid w:val="006567EF"/>
    <w:rsid w:val="006573CC"/>
    <w:rsid w:val="00657BC8"/>
    <w:rsid w:val="00661145"/>
    <w:rsid w:val="00670974"/>
    <w:rsid w:val="006717B0"/>
    <w:rsid w:val="00672E88"/>
    <w:rsid w:val="00673FC7"/>
    <w:rsid w:val="00677CE4"/>
    <w:rsid w:val="0068182D"/>
    <w:rsid w:val="00687A6F"/>
    <w:rsid w:val="00690F4E"/>
    <w:rsid w:val="00695F99"/>
    <w:rsid w:val="00696278"/>
    <w:rsid w:val="00697384"/>
    <w:rsid w:val="0069798D"/>
    <w:rsid w:val="006A09BA"/>
    <w:rsid w:val="006A1376"/>
    <w:rsid w:val="006A4BDC"/>
    <w:rsid w:val="006A56A2"/>
    <w:rsid w:val="006A75F9"/>
    <w:rsid w:val="006B42D0"/>
    <w:rsid w:val="006B4B03"/>
    <w:rsid w:val="006B6492"/>
    <w:rsid w:val="006B6A66"/>
    <w:rsid w:val="006B7593"/>
    <w:rsid w:val="006C4616"/>
    <w:rsid w:val="006C6AB1"/>
    <w:rsid w:val="006D16DF"/>
    <w:rsid w:val="006D2FC8"/>
    <w:rsid w:val="006D43A0"/>
    <w:rsid w:val="006D4512"/>
    <w:rsid w:val="006D50F7"/>
    <w:rsid w:val="006D56FC"/>
    <w:rsid w:val="006E6E81"/>
    <w:rsid w:val="006F1DAC"/>
    <w:rsid w:val="006F2C57"/>
    <w:rsid w:val="006F31FB"/>
    <w:rsid w:val="00700DB8"/>
    <w:rsid w:val="00701770"/>
    <w:rsid w:val="007048E1"/>
    <w:rsid w:val="00705F87"/>
    <w:rsid w:val="00705FDC"/>
    <w:rsid w:val="007063AE"/>
    <w:rsid w:val="00706575"/>
    <w:rsid w:val="00706A78"/>
    <w:rsid w:val="007074E5"/>
    <w:rsid w:val="00712148"/>
    <w:rsid w:val="0071300A"/>
    <w:rsid w:val="00713B5F"/>
    <w:rsid w:val="0071433E"/>
    <w:rsid w:val="007231B4"/>
    <w:rsid w:val="007232E1"/>
    <w:rsid w:val="007235FF"/>
    <w:rsid w:val="00726224"/>
    <w:rsid w:val="0072637B"/>
    <w:rsid w:val="00726EEC"/>
    <w:rsid w:val="00727233"/>
    <w:rsid w:val="0073027C"/>
    <w:rsid w:val="00732E3A"/>
    <w:rsid w:val="0074128A"/>
    <w:rsid w:val="00742EBA"/>
    <w:rsid w:val="007465A5"/>
    <w:rsid w:val="0075222A"/>
    <w:rsid w:val="0075570B"/>
    <w:rsid w:val="00756AC9"/>
    <w:rsid w:val="00757C09"/>
    <w:rsid w:val="0076170F"/>
    <w:rsid w:val="00761D34"/>
    <w:rsid w:val="00763887"/>
    <w:rsid w:val="00766BEB"/>
    <w:rsid w:val="0076796F"/>
    <w:rsid w:val="007720A1"/>
    <w:rsid w:val="007765BF"/>
    <w:rsid w:val="00777BD9"/>
    <w:rsid w:val="00780650"/>
    <w:rsid w:val="00780BB7"/>
    <w:rsid w:val="00782D95"/>
    <w:rsid w:val="00785D16"/>
    <w:rsid w:val="00787384"/>
    <w:rsid w:val="00791213"/>
    <w:rsid w:val="0079365D"/>
    <w:rsid w:val="0079488B"/>
    <w:rsid w:val="007956A2"/>
    <w:rsid w:val="007A0511"/>
    <w:rsid w:val="007A4764"/>
    <w:rsid w:val="007A63DC"/>
    <w:rsid w:val="007A6573"/>
    <w:rsid w:val="007B0A99"/>
    <w:rsid w:val="007C315A"/>
    <w:rsid w:val="007C4D69"/>
    <w:rsid w:val="007C5231"/>
    <w:rsid w:val="007C5941"/>
    <w:rsid w:val="007C72E7"/>
    <w:rsid w:val="007D0700"/>
    <w:rsid w:val="007D1197"/>
    <w:rsid w:val="007D4668"/>
    <w:rsid w:val="007E1C8A"/>
    <w:rsid w:val="007E252D"/>
    <w:rsid w:val="007E32FF"/>
    <w:rsid w:val="007F243F"/>
    <w:rsid w:val="007F2CC0"/>
    <w:rsid w:val="007F3571"/>
    <w:rsid w:val="007F5722"/>
    <w:rsid w:val="0080637D"/>
    <w:rsid w:val="008072B1"/>
    <w:rsid w:val="008079BE"/>
    <w:rsid w:val="00807DA5"/>
    <w:rsid w:val="008118E9"/>
    <w:rsid w:val="008119CD"/>
    <w:rsid w:val="00812CFD"/>
    <w:rsid w:val="00812D2E"/>
    <w:rsid w:val="00812DFB"/>
    <w:rsid w:val="00812F4D"/>
    <w:rsid w:val="00813323"/>
    <w:rsid w:val="00813716"/>
    <w:rsid w:val="00816A45"/>
    <w:rsid w:val="0081796A"/>
    <w:rsid w:val="00822E96"/>
    <w:rsid w:val="00823345"/>
    <w:rsid w:val="008240C1"/>
    <w:rsid w:val="00825166"/>
    <w:rsid w:val="00831609"/>
    <w:rsid w:val="008317E7"/>
    <w:rsid w:val="00833774"/>
    <w:rsid w:val="00834C69"/>
    <w:rsid w:val="00844869"/>
    <w:rsid w:val="00846F1E"/>
    <w:rsid w:val="00850E7E"/>
    <w:rsid w:val="00853053"/>
    <w:rsid w:val="00855758"/>
    <w:rsid w:val="00857E8D"/>
    <w:rsid w:val="008609AD"/>
    <w:rsid w:val="00863CAB"/>
    <w:rsid w:val="00863EAC"/>
    <w:rsid w:val="008642D8"/>
    <w:rsid w:val="00866A75"/>
    <w:rsid w:val="00867089"/>
    <w:rsid w:val="0087033F"/>
    <w:rsid w:val="00872B2F"/>
    <w:rsid w:val="00873060"/>
    <w:rsid w:val="008730E0"/>
    <w:rsid w:val="008764FF"/>
    <w:rsid w:val="008767A9"/>
    <w:rsid w:val="00882333"/>
    <w:rsid w:val="00882473"/>
    <w:rsid w:val="00882B7E"/>
    <w:rsid w:val="008848D5"/>
    <w:rsid w:val="00885266"/>
    <w:rsid w:val="008855C2"/>
    <w:rsid w:val="00886339"/>
    <w:rsid w:val="008903AB"/>
    <w:rsid w:val="00890525"/>
    <w:rsid w:val="00893A47"/>
    <w:rsid w:val="00893EA1"/>
    <w:rsid w:val="008A2FDE"/>
    <w:rsid w:val="008A3887"/>
    <w:rsid w:val="008A55DC"/>
    <w:rsid w:val="008A6E8B"/>
    <w:rsid w:val="008A729F"/>
    <w:rsid w:val="008B2CE7"/>
    <w:rsid w:val="008B36F8"/>
    <w:rsid w:val="008B419F"/>
    <w:rsid w:val="008B6DE8"/>
    <w:rsid w:val="008B7736"/>
    <w:rsid w:val="008C5ACF"/>
    <w:rsid w:val="008D0399"/>
    <w:rsid w:val="008D4BF6"/>
    <w:rsid w:val="008D5157"/>
    <w:rsid w:val="008E2A5F"/>
    <w:rsid w:val="008E75B4"/>
    <w:rsid w:val="008E7CEE"/>
    <w:rsid w:val="008F079A"/>
    <w:rsid w:val="008F165D"/>
    <w:rsid w:val="008F1D28"/>
    <w:rsid w:val="008F59C3"/>
    <w:rsid w:val="008F6E21"/>
    <w:rsid w:val="008F7DD9"/>
    <w:rsid w:val="00901C9C"/>
    <w:rsid w:val="00902DA8"/>
    <w:rsid w:val="00904788"/>
    <w:rsid w:val="00905A18"/>
    <w:rsid w:val="00915AC3"/>
    <w:rsid w:val="0092084F"/>
    <w:rsid w:val="00920B94"/>
    <w:rsid w:val="00921B36"/>
    <w:rsid w:val="00922166"/>
    <w:rsid w:val="00922D3C"/>
    <w:rsid w:val="009232AC"/>
    <w:rsid w:val="00926E1F"/>
    <w:rsid w:val="009302CC"/>
    <w:rsid w:val="00932B74"/>
    <w:rsid w:val="00932C28"/>
    <w:rsid w:val="009351B0"/>
    <w:rsid w:val="0094027D"/>
    <w:rsid w:val="00942996"/>
    <w:rsid w:val="00943526"/>
    <w:rsid w:val="00943CBA"/>
    <w:rsid w:val="009512F6"/>
    <w:rsid w:val="009534E9"/>
    <w:rsid w:val="00953A14"/>
    <w:rsid w:val="00953B8E"/>
    <w:rsid w:val="00954742"/>
    <w:rsid w:val="00956DE5"/>
    <w:rsid w:val="0095782A"/>
    <w:rsid w:val="009602BD"/>
    <w:rsid w:val="00960558"/>
    <w:rsid w:val="009607D6"/>
    <w:rsid w:val="00964814"/>
    <w:rsid w:val="00966229"/>
    <w:rsid w:val="00970F29"/>
    <w:rsid w:val="00980CC6"/>
    <w:rsid w:val="00981C7A"/>
    <w:rsid w:val="00983FC2"/>
    <w:rsid w:val="009859B7"/>
    <w:rsid w:val="009875B5"/>
    <w:rsid w:val="00990A0C"/>
    <w:rsid w:val="00991851"/>
    <w:rsid w:val="00995CCC"/>
    <w:rsid w:val="00997ADB"/>
    <w:rsid w:val="00997AE2"/>
    <w:rsid w:val="00997FE5"/>
    <w:rsid w:val="009A04D4"/>
    <w:rsid w:val="009A363E"/>
    <w:rsid w:val="009A62BD"/>
    <w:rsid w:val="009B0AAC"/>
    <w:rsid w:val="009B38C7"/>
    <w:rsid w:val="009B75EC"/>
    <w:rsid w:val="009C2338"/>
    <w:rsid w:val="009C3321"/>
    <w:rsid w:val="009D1A44"/>
    <w:rsid w:val="009D2849"/>
    <w:rsid w:val="009D4097"/>
    <w:rsid w:val="009D4E2D"/>
    <w:rsid w:val="009D78A1"/>
    <w:rsid w:val="009D7B68"/>
    <w:rsid w:val="009D7DE4"/>
    <w:rsid w:val="009E11D6"/>
    <w:rsid w:val="009E18A3"/>
    <w:rsid w:val="009E2B71"/>
    <w:rsid w:val="009E3076"/>
    <w:rsid w:val="009E31EC"/>
    <w:rsid w:val="009E3B37"/>
    <w:rsid w:val="009E6AF9"/>
    <w:rsid w:val="009F018A"/>
    <w:rsid w:val="009F2575"/>
    <w:rsid w:val="009F2D3F"/>
    <w:rsid w:val="009F6BCF"/>
    <w:rsid w:val="009F6DB2"/>
    <w:rsid w:val="009F6FF6"/>
    <w:rsid w:val="009F7EBA"/>
    <w:rsid w:val="00A0078A"/>
    <w:rsid w:val="00A02280"/>
    <w:rsid w:val="00A03059"/>
    <w:rsid w:val="00A03CDD"/>
    <w:rsid w:val="00A05CB7"/>
    <w:rsid w:val="00A06411"/>
    <w:rsid w:val="00A07DC8"/>
    <w:rsid w:val="00A10FAA"/>
    <w:rsid w:val="00A11AF1"/>
    <w:rsid w:val="00A15582"/>
    <w:rsid w:val="00A20FA5"/>
    <w:rsid w:val="00A26615"/>
    <w:rsid w:val="00A279B6"/>
    <w:rsid w:val="00A316DC"/>
    <w:rsid w:val="00A356AE"/>
    <w:rsid w:val="00A37F08"/>
    <w:rsid w:val="00A4052F"/>
    <w:rsid w:val="00A40B2F"/>
    <w:rsid w:val="00A41195"/>
    <w:rsid w:val="00A47F35"/>
    <w:rsid w:val="00A50E74"/>
    <w:rsid w:val="00A50EC0"/>
    <w:rsid w:val="00A513C2"/>
    <w:rsid w:val="00A53C1F"/>
    <w:rsid w:val="00A562E4"/>
    <w:rsid w:val="00A570B7"/>
    <w:rsid w:val="00A619F4"/>
    <w:rsid w:val="00A71AE1"/>
    <w:rsid w:val="00A74125"/>
    <w:rsid w:val="00A74E8F"/>
    <w:rsid w:val="00A7581F"/>
    <w:rsid w:val="00A815DE"/>
    <w:rsid w:val="00A82B0B"/>
    <w:rsid w:val="00A8589E"/>
    <w:rsid w:val="00A860CC"/>
    <w:rsid w:val="00A86B4A"/>
    <w:rsid w:val="00A9002D"/>
    <w:rsid w:val="00A90FEE"/>
    <w:rsid w:val="00A9214A"/>
    <w:rsid w:val="00A92979"/>
    <w:rsid w:val="00A94065"/>
    <w:rsid w:val="00AA2D78"/>
    <w:rsid w:val="00AA6941"/>
    <w:rsid w:val="00AA6BB6"/>
    <w:rsid w:val="00AA7E96"/>
    <w:rsid w:val="00AB30F0"/>
    <w:rsid w:val="00AB44EA"/>
    <w:rsid w:val="00AB64E8"/>
    <w:rsid w:val="00AC5EB0"/>
    <w:rsid w:val="00AD095C"/>
    <w:rsid w:val="00AD2374"/>
    <w:rsid w:val="00AD532E"/>
    <w:rsid w:val="00AD7180"/>
    <w:rsid w:val="00AE305F"/>
    <w:rsid w:val="00AE3E53"/>
    <w:rsid w:val="00AE5AC6"/>
    <w:rsid w:val="00AF2003"/>
    <w:rsid w:val="00AF445F"/>
    <w:rsid w:val="00AF4F84"/>
    <w:rsid w:val="00AF5CCA"/>
    <w:rsid w:val="00AF684D"/>
    <w:rsid w:val="00AF7C52"/>
    <w:rsid w:val="00B06003"/>
    <w:rsid w:val="00B0692F"/>
    <w:rsid w:val="00B07AD6"/>
    <w:rsid w:val="00B100E2"/>
    <w:rsid w:val="00B10DE0"/>
    <w:rsid w:val="00B12047"/>
    <w:rsid w:val="00B132F6"/>
    <w:rsid w:val="00B14B4F"/>
    <w:rsid w:val="00B17FC4"/>
    <w:rsid w:val="00B20073"/>
    <w:rsid w:val="00B23380"/>
    <w:rsid w:val="00B257F8"/>
    <w:rsid w:val="00B276D4"/>
    <w:rsid w:val="00B3345E"/>
    <w:rsid w:val="00B344BF"/>
    <w:rsid w:val="00B37B8B"/>
    <w:rsid w:val="00B41A60"/>
    <w:rsid w:val="00B42750"/>
    <w:rsid w:val="00B4441A"/>
    <w:rsid w:val="00B54104"/>
    <w:rsid w:val="00B547EE"/>
    <w:rsid w:val="00B54871"/>
    <w:rsid w:val="00B55EBE"/>
    <w:rsid w:val="00B5773D"/>
    <w:rsid w:val="00B61402"/>
    <w:rsid w:val="00B62AE7"/>
    <w:rsid w:val="00B6732E"/>
    <w:rsid w:val="00B71B0E"/>
    <w:rsid w:val="00B7241E"/>
    <w:rsid w:val="00B73097"/>
    <w:rsid w:val="00B73914"/>
    <w:rsid w:val="00B8036C"/>
    <w:rsid w:val="00B83062"/>
    <w:rsid w:val="00B83F06"/>
    <w:rsid w:val="00B90263"/>
    <w:rsid w:val="00B90CEE"/>
    <w:rsid w:val="00B912C3"/>
    <w:rsid w:val="00B91676"/>
    <w:rsid w:val="00B91B0E"/>
    <w:rsid w:val="00B92708"/>
    <w:rsid w:val="00B92AAF"/>
    <w:rsid w:val="00B946DF"/>
    <w:rsid w:val="00B94CE9"/>
    <w:rsid w:val="00B95E6B"/>
    <w:rsid w:val="00B96D7C"/>
    <w:rsid w:val="00BA2EFC"/>
    <w:rsid w:val="00BA41D2"/>
    <w:rsid w:val="00BA4897"/>
    <w:rsid w:val="00BB41E3"/>
    <w:rsid w:val="00BB47BB"/>
    <w:rsid w:val="00BB58F7"/>
    <w:rsid w:val="00BC0C7B"/>
    <w:rsid w:val="00BC34C4"/>
    <w:rsid w:val="00BC43B2"/>
    <w:rsid w:val="00BD14EC"/>
    <w:rsid w:val="00BD4149"/>
    <w:rsid w:val="00BD50FC"/>
    <w:rsid w:val="00BE034D"/>
    <w:rsid w:val="00BE0503"/>
    <w:rsid w:val="00BF1D09"/>
    <w:rsid w:val="00BF20D3"/>
    <w:rsid w:val="00BF2C70"/>
    <w:rsid w:val="00BF41CD"/>
    <w:rsid w:val="00BF543C"/>
    <w:rsid w:val="00C010A5"/>
    <w:rsid w:val="00C02BE2"/>
    <w:rsid w:val="00C034B7"/>
    <w:rsid w:val="00C05BA0"/>
    <w:rsid w:val="00C05F72"/>
    <w:rsid w:val="00C067F9"/>
    <w:rsid w:val="00C07132"/>
    <w:rsid w:val="00C1290C"/>
    <w:rsid w:val="00C1326A"/>
    <w:rsid w:val="00C135EE"/>
    <w:rsid w:val="00C1401E"/>
    <w:rsid w:val="00C1759A"/>
    <w:rsid w:val="00C20E9C"/>
    <w:rsid w:val="00C2299A"/>
    <w:rsid w:val="00C22D33"/>
    <w:rsid w:val="00C23011"/>
    <w:rsid w:val="00C23DF1"/>
    <w:rsid w:val="00C25A73"/>
    <w:rsid w:val="00C262E7"/>
    <w:rsid w:val="00C267F3"/>
    <w:rsid w:val="00C3026D"/>
    <w:rsid w:val="00C309BF"/>
    <w:rsid w:val="00C32063"/>
    <w:rsid w:val="00C37686"/>
    <w:rsid w:val="00C42BE5"/>
    <w:rsid w:val="00C43597"/>
    <w:rsid w:val="00C46D7A"/>
    <w:rsid w:val="00C53740"/>
    <w:rsid w:val="00C55CE8"/>
    <w:rsid w:val="00C57C76"/>
    <w:rsid w:val="00C57EB4"/>
    <w:rsid w:val="00C66D1C"/>
    <w:rsid w:val="00C67036"/>
    <w:rsid w:val="00C675FC"/>
    <w:rsid w:val="00C70441"/>
    <w:rsid w:val="00C7111F"/>
    <w:rsid w:val="00C753E8"/>
    <w:rsid w:val="00C764E3"/>
    <w:rsid w:val="00C77280"/>
    <w:rsid w:val="00C801AC"/>
    <w:rsid w:val="00C8189E"/>
    <w:rsid w:val="00C85F31"/>
    <w:rsid w:val="00C90FB5"/>
    <w:rsid w:val="00C9594D"/>
    <w:rsid w:val="00CA255A"/>
    <w:rsid w:val="00CA2567"/>
    <w:rsid w:val="00CA6C53"/>
    <w:rsid w:val="00CA6DCB"/>
    <w:rsid w:val="00CA71F6"/>
    <w:rsid w:val="00CB31EF"/>
    <w:rsid w:val="00CB3FEB"/>
    <w:rsid w:val="00CB4EF8"/>
    <w:rsid w:val="00CB69A9"/>
    <w:rsid w:val="00CC0194"/>
    <w:rsid w:val="00CC0831"/>
    <w:rsid w:val="00CC3ED0"/>
    <w:rsid w:val="00CC55D6"/>
    <w:rsid w:val="00CC5FFE"/>
    <w:rsid w:val="00CC79E1"/>
    <w:rsid w:val="00CD3588"/>
    <w:rsid w:val="00CD4E69"/>
    <w:rsid w:val="00CD5E46"/>
    <w:rsid w:val="00CD7128"/>
    <w:rsid w:val="00CD73D9"/>
    <w:rsid w:val="00CE139D"/>
    <w:rsid w:val="00CE1E7B"/>
    <w:rsid w:val="00CE3DD6"/>
    <w:rsid w:val="00CE5D4A"/>
    <w:rsid w:val="00CF0685"/>
    <w:rsid w:val="00CF0B51"/>
    <w:rsid w:val="00CF1024"/>
    <w:rsid w:val="00CF2187"/>
    <w:rsid w:val="00CF3178"/>
    <w:rsid w:val="00CF4D0F"/>
    <w:rsid w:val="00CF6DDC"/>
    <w:rsid w:val="00CF7933"/>
    <w:rsid w:val="00CF7B58"/>
    <w:rsid w:val="00D01ACB"/>
    <w:rsid w:val="00D06C54"/>
    <w:rsid w:val="00D071DE"/>
    <w:rsid w:val="00D07A3A"/>
    <w:rsid w:val="00D07C2C"/>
    <w:rsid w:val="00D12164"/>
    <w:rsid w:val="00D14EF6"/>
    <w:rsid w:val="00D155A1"/>
    <w:rsid w:val="00D17062"/>
    <w:rsid w:val="00D2375E"/>
    <w:rsid w:val="00D25644"/>
    <w:rsid w:val="00D25D74"/>
    <w:rsid w:val="00D3303B"/>
    <w:rsid w:val="00D34461"/>
    <w:rsid w:val="00D34F16"/>
    <w:rsid w:val="00D356BC"/>
    <w:rsid w:val="00D3725D"/>
    <w:rsid w:val="00D41BAB"/>
    <w:rsid w:val="00D43C16"/>
    <w:rsid w:val="00D46236"/>
    <w:rsid w:val="00D479E0"/>
    <w:rsid w:val="00D52CBC"/>
    <w:rsid w:val="00D538FB"/>
    <w:rsid w:val="00D54C75"/>
    <w:rsid w:val="00D55432"/>
    <w:rsid w:val="00D57EC8"/>
    <w:rsid w:val="00D61CCB"/>
    <w:rsid w:val="00D63C65"/>
    <w:rsid w:val="00D644C3"/>
    <w:rsid w:val="00D64913"/>
    <w:rsid w:val="00D7025D"/>
    <w:rsid w:val="00D7150B"/>
    <w:rsid w:val="00D71FA5"/>
    <w:rsid w:val="00D74F49"/>
    <w:rsid w:val="00D8202B"/>
    <w:rsid w:val="00D82255"/>
    <w:rsid w:val="00D82916"/>
    <w:rsid w:val="00D83D03"/>
    <w:rsid w:val="00D86AC3"/>
    <w:rsid w:val="00D94469"/>
    <w:rsid w:val="00D944C1"/>
    <w:rsid w:val="00D97364"/>
    <w:rsid w:val="00DA2AF8"/>
    <w:rsid w:val="00DA3992"/>
    <w:rsid w:val="00DA4AF6"/>
    <w:rsid w:val="00DA712D"/>
    <w:rsid w:val="00DA7EDC"/>
    <w:rsid w:val="00DB15ED"/>
    <w:rsid w:val="00DB3025"/>
    <w:rsid w:val="00DB7FE1"/>
    <w:rsid w:val="00DC0C75"/>
    <w:rsid w:val="00DC7F70"/>
    <w:rsid w:val="00DD317B"/>
    <w:rsid w:val="00DD3188"/>
    <w:rsid w:val="00DD6510"/>
    <w:rsid w:val="00DE0AB3"/>
    <w:rsid w:val="00DE0B5E"/>
    <w:rsid w:val="00DE0EDA"/>
    <w:rsid w:val="00DE7E46"/>
    <w:rsid w:val="00DF40F1"/>
    <w:rsid w:val="00DF44BF"/>
    <w:rsid w:val="00DF4BA0"/>
    <w:rsid w:val="00DF5C26"/>
    <w:rsid w:val="00DF5DCC"/>
    <w:rsid w:val="00DF70D1"/>
    <w:rsid w:val="00E0025F"/>
    <w:rsid w:val="00E02C91"/>
    <w:rsid w:val="00E03691"/>
    <w:rsid w:val="00E03A3C"/>
    <w:rsid w:val="00E050F2"/>
    <w:rsid w:val="00E1029E"/>
    <w:rsid w:val="00E10B59"/>
    <w:rsid w:val="00E11EC6"/>
    <w:rsid w:val="00E11F7D"/>
    <w:rsid w:val="00E15FD3"/>
    <w:rsid w:val="00E16628"/>
    <w:rsid w:val="00E21140"/>
    <w:rsid w:val="00E22DAD"/>
    <w:rsid w:val="00E23EB0"/>
    <w:rsid w:val="00E26648"/>
    <w:rsid w:val="00E26C4E"/>
    <w:rsid w:val="00E30792"/>
    <w:rsid w:val="00E3092E"/>
    <w:rsid w:val="00E32F69"/>
    <w:rsid w:val="00E36029"/>
    <w:rsid w:val="00E4040D"/>
    <w:rsid w:val="00E41315"/>
    <w:rsid w:val="00E41A5C"/>
    <w:rsid w:val="00E4310B"/>
    <w:rsid w:val="00E4412C"/>
    <w:rsid w:val="00E4443A"/>
    <w:rsid w:val="00E44F0E"/>
    <w:rsid w:val="00E46575"/>
    <w:rsid w:val="00E47903"/>
    <w:rsid w:val="00E50FDE"/>
    <w:rsid w:val="00E62377"/>
    <w:rsid w:val="00E62517"/>
    <w:rsid w:val="00E62C3C"/>
    <w:rsid w:val="00E63D8A"/>
    <w:rsid w:val="00E65DF1"/>
    <w:rsid w:val="00E66C8D"/>
    <w:rsid w:val="00E66C9D"/>
    <w:rsid w:val="00E66D1A"/>
    <w:rsid w:val="00E66D7B"/>
    <w:rsid w:val="00E723AD"/>
    <w:rsid w:val="00E7390C"/>
    <w:rsid w:val="00E742C6"/>
    <w:rsid w:val="00E779BE"/>
    <w:rsid w:val="00E807AB"/>
    <w:rsid w:val="00E84CAA"/>
    <w:rsid w:val="00E85CA5"/>
    <w:rsid w:val="00E87849"/>
    <w:rsid w:val="00E8793A"/>
    <w:rsid w:val="00E9274E"/>
    <w:rsid w:val="00E962BD"/>
    <w:rsid w:val="00EA0480"/>
    <w:rsid w:val="00EA0A73"/>
    <w:rsid w:val="00EA730C"/>
    <w:rsid w:val="00EA7947"/>
    <w:rsid w:val="00EB1CFE"/>
    <w:rsid w:val="00EB2055"/>
    <w:rsid w:val="00EB3FFC"/>
    <w:rsid w:val="00EC014F"/>
    <w:rsid w:val="00EC37A1"/>
    <w:rsid w:val="00EC7D18"/>
    <w:rsid w:val="00ED0778"/>
    <w:rsid w:val="00ED182F"/>
    <w:rsid w:val="00ED195F"/>
    <w:rsid w:val="00ED4067"/>
    <w:rsid w:val="00ED5109"/>
    <w:rsid w:val="00ED6EC4"/>
    <w:rsid w:val="00ED74EA"/>
    <w:rsid w:val="00ED7CE1"/>
    <w:rsid w:val="00ED7D61"/>
    <w:rsid w:val="00EE2C4F"/>
    <w:rsid w:val="00EE3F0F"/>
    <w:rsid w:val="00EE448A"/>
    <w:rsid w:val="00EE5158"/>
    <w:rsid w:val="00EE6432"/>
    <w:rsid w:val="00EF54F2"/>
    <w:rsid w:val="00EF6A5F"/>
    <w:rsid w:val="00F019C0"/>
    <w:rsid w:val="00F01C36"/>
    <w:rsid w:val="00F10339"/>
    <w:rsid w:val="00F126C7"/>
    <w:rsid w:val="00F13B42"/>
    <w:rsid w:val="00F15F10"/>
    <w:rsid w:val="00F2006E"/>
    <w:rsid w:val="00F20AA2"/>
    <w:rsid w:val="00F23383"/>
    <w:rsid w:val="00F2375A"/>
    <w:rsid w:val="00F24054"/>
    <w:rsid w:val="00F261F8"/>
    <w:rsid w:val="00F26DCF"/>
    <w:rsid w:val="00F2702E"/>
    <w:rsid w:val="00F272F5"/>
    <w:rsid w:val="00F30ECB"/>
    <w:rsid w:val="00F3109D"/>
    <w:rsid w:val="00F31C5D"/>
    <w:rsid w:val="00F34E40"/>
    <w:rsid w:val="00F404A8"/>
    <w:rsid w:val="00F40874"/>
    <w:rsid w:val="00F40EFA"/>
    <w:rsid w:val="00F423A2"/>
    <w:rsid w:val="00F44411"/>
    <w:rsid w:val="00F44931"/>
    <w:rsid w:val="00F47857"/>
    <w:rsid w:val="00F5030D"/>
    <w:rsid w:val="00F51A13"/>
    <w:rsid w:val="00F5316A"/>
    <w:rsid w:val="00F53209"/>
    <w:rsid w:val="00F540BE"/>
    <w:rsid w:val="00F62AF4"/>
    <w:rsid w:val="00F634D0"/>
    <w:rsid w:val="00F66A1F"/>
    <w:rsid w:val="00F717D0"/>
    <w:rsid w:val="00F72EB3"/>
    <w:rsid w:val="00F73874"/>
    <w:rsid w:val="00F74839"/>
    <w:rsid w:val="00F80B71"/>
    <w:rsid w:val="00F81689"/>
    <w:rsid w:val="00F8234A"/>
    <w:rsid w:val="00F83503"/>
    <w:rsid w:val="00F84E29"/>
    <w:rsid w:val="00F8536F"/>
    <w:rsid w:val="00F85FC7"/>
    <w:rsid w:val="00F86136"/>
    <w:rsid w:val="00F86669"/>
    <w:rsid w:val="00F87393"/>
    <w:rsid w:val="00F90C9E"/>
    <w:rsid w:val="00F967C7"/>
    <w:rsid w:val="00FA1312"/>
    <w:rsid w:val="00FA20F4"/>
    <w:rsid w:val="00FA64C3"/>
    <w:rsid w:val="00FA7391"/>
    <w:rsid w:val="00FA7480"/>
    <w:rsid w:val="00FB132E"/>
    <w:rsid w:val="00FB2D16"/>
    <w:rsid w:val="00FB2F92"/>
    <w:rsid w:val="00FB3394"/>
    <w:rsid w:val="00FB3494"/>
    <w:rsid w:val="00FB3698"/>
    <w:rsid w:val="00FD1357"/>
    <w:rsid w:val="00FD500D"/>
    <w:rsid w:val="00FD5FCB"/>
    <w:rsid w:val="00FD7976"/>
    <w:rsid w:val="00FE0535"/>
    <w:rsid w:val="00FE0F6E"/>
    <w:rsid w:val="00FE2F6D"/>
    <w:rsid w:val="00FE341A"/>
    <w:rsid w:val="00FE3B00"/>
    <w:rsid w:val="00FE5225"/>
    <w:rsid w:val="00FE724B"/>
    <w:rsid w:val="00FF18B5"/>
    <w:rsid w:val="00FF2DE4"/>
    <w:rsid w:val="00FF381F"/>
    <w:rsid w:val="00FF3AD1"/>
    <w:rsid w:val="00FF5130"/>
    <w:rsid w:val="00FF56F1"/>
    <w:rsid w:val="00FF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s1033">
          <o:proxy start="" idref="#_s1035" connectloc="0"/>
          <o:proxy end="" idref="#_s1034" connectloc="2"/>
        </o:r>
        <o:r id="V:Rule2" type="connector" idref="#_s1032">
          <o:proxy start="" idref="#_s1036" connectloc="3"/>
          <o:proxy end="" idref="#_s1034" connectloc="2"/>
        </o:r>
        <o:r id="V:Rule3" type="connector" idref="#_s1031">
          <o:proxy start="" idref="#_s1037" connectloc="3"/>
          <o:proxy end="" idref="#_s1035" connectloc="2"/>
        </o:r>
        <o:r id="V:Rule4" type="connector" idref="#_s1030">
          <o:proxy start="" idref="#_s1038" connectloc="1"/>
          <o:proxy end="" idref="#_s1035" connectloc="2"/>
        </o:r>
        <o:r id="V:Rule5" type="connector" idref="#_s1029">
          <o:proxy start="" idref="#_s1039" connectloc="3"/>
          <o:proxy end="" idref="#_s1038" connectloc="2"/>
        </o:r>
        <o:r id="V:Rule6" type="connector" idref="#_s1028">
          <o:proxy start="" idref="#_s1040" connectloc="1"/>
          <o:proxy end="" idref="#_s1038"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Elizabeth Haddock</dc:creator>
  <cp:lastModifiedBy>Sarah Elizabeth Haddock</cp:lastModifiedBy>
  <cp:revision>1</cp:revision>
  <dcterms:created xsi:type="dcterms:W3CDTF">2014-10-10T18:50:00Z</dcterms:created>
  <dcterms:modified xsi:type="dcterms:W3CDTF">2014-10-10T18:51:00Z</dcterms:modified>
</cp:coreProperties>
</file>